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EF76B" w14:textId="2B44E2D7" w:rsidR="008F100F" w:rsidRPr="008F100F" w:rsidRDefault="008F100F" w:rsidP="008F10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100F">
        <w:rPr>
          <w:rFonts w:ascii="Times New Roman" w:hAnsi="Times New Roman" w:cs="Times New Roman"/>
          <w:b/>
          <w:sz w:val="24"/>
          <w:szCs w:val="24"/>
        </w:rPr>
        <w:t>Streszczenie</w:t>
      </w:r>
    </w:p>
    <w:p w14:paraId="398372E0" w14:textId="77777777" w:rsidR="008F100F" w:rsidRPr="00493339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DAC782" w14:textId="779CDE53" w:rsidR="008F100F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0F">
        <w:rPr>
          <w:rFonts w:ascii="Times New Roman" w:hAnsi="Times New Roman" w:cs="Times New Roman"/>
          <w:bCs/>
          <w:sz w:val="24"/>
          <w:szCs w:val="24"/>
        </w:rPr>
        <w:t xml:space="preserve">W rozprawie doktorskiej pt. </w:t>
      </w:r>
      <w:r w:rsidRPr="00493339">
        <w:rPr>
          <w:rFonts w:ascii="Times New Roman" w:hAnsi="Times New Roman" w:cs="Times New Roman"/>
          <w:bCs/>
          <w:i/>
          <w:iCs/>
          <w:sz w:val="24"/>
          <w:szCs w:val="24"/>
        </w:rPr>
        <w:t>Odnawialne źródła energii w polityce energetycznej Rzeczypospolitej Polskiej. Casus polityki rolnej w latach 2004-2019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, prowadzone poszukiwania dotyczyły jednej z kluczowych polityk publicznych, jaką jest polityka rolna prowadzana przez Polski Rząd i jej ścisłe powiązanie z energetyką i odnawialnymi źródłami energii. Miały </w:t>
      </w:r>
      <w:r w:rsidR="00617BA1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Pr="008F100F">
        <w:rPr>
          <w:rFonts w:ascii="Times New Roman" w:hAnsi="Times New Roman" w:cs="Times New Roman"/>
          <w:bCs/>
          <w:sz w:val="24"/>
          <w:szCs w:val="24"/>
        </w:rPr>
        <w:t>na celu określenie instrumentów kreowanej polityki rolnej na rozwój odnawialnych źródeł energii i ich udział w polityce energetycznej.</w:t>
      </w:r>
    </w:p>
    <w:p w14:paraId="75C2DE11" w14:textId="77777777" w:rsidR="008F100F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0F">
        <w:rPr>
          <w:rFonts w:ascii="Times New Roman" w:hAnsi="Times New Roman" w:cs="Times New Roman"/>
          <w:bCs/>
          <w:sz w:val="24"/>
          <w:szCs w:val="24"/>
        </w:rPr>
        <w:t>Przedstawiono kształt funkcjonującego w Polsce rynku energii elektrycznej i gazu, występujących na nim podmiotów oraz praw majątkowych. Wskazano otoczenie prawne wynikające z deklaracji politycznych oraz umów międzynarodowych, ich wpływ na rozwój i kształt rynków. Przedstawiono instrumenty służące do kreowania i wzmacniania właściwych postaw inwestorskich i jednocześnie wskazano bariery hamujące te postawy.</w:t>
      </w:r>
    </w:p>
    <w:p w14:paraId="319E055F" w14:textId="361F304E" w:rsidR="008F100F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0F">
        <w:rPr>
          <w:rFonts w:ascii="Times New Roman" w:hAnsi="Times New Roman" w:cs="Times New Roman"/>
          <w:bCs/>
          <w:sz w:val="24"/>
          <w:szCs w:val="24"/>
        </w:rPr>
        <w:t xml:space="preserve">W poszczególnych rozdziałach zaprezentowano rynki energii elektrycznej, gazu ziemnego, paliw płynnych i stałych oraz wpływ jaki wywiera na nie Unia Europejska. </w:t>
      </w:r>
      <w:r w:rsidR="00617BA1">
        <w:rPr>
          <w:rFonts w:ascii="Times New Roman" w:hAnsi="Times New Roman" w:cs="Times New Roman"/>
          <w:bCs/>
          <w:sz w:val="24"/>
          <w:szCs w:val="24"/>
        </w:rPr>
        <w:t>O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pisano rozwój odnawialnych źródeł energii na świecie i w Polsce, przedstawiono deklaracje polityczne i zawierane umowy międzynarodowe istotne z punktu ochrony środowiska naturalnego, mające jednocześnie swój wydźwięk w rolnictwie i energetyce oraz ich oddziaływanie na decyzje podejmowane przez poszczególne Rządy w Polsce w latach 2004 do 2019. </w:t>
      </w:r>
      <w:r w:rsidR="00617BA1">
        <w:rPr>
          <w:rFonts w:ascii="Times New Roman" w:hAnsi="Times New Roman" w:cs="Times New Roman"/>
          <w:bCs/>
          <w:sz w:val="24"/>
          <w:szCs w:val="24"/>
        </w:rPr>
        <w:t xml:space="preserve">Wskazano </w:t>
      </w:r>
      <w:r w:rsidRPr="008F100F">
        <w:rPr>
          <w:rFonts w:ascii="Times New Roman" w:hAnsi="Times New Roman" w:cs="Times New Roman"/>
          <w:bCs/>
          <w:sz w:val="24"/>
          <w:szCs w:val="24"/>
        </w:rPr>
        <w:t>znaczenie rolnictwa we współczesnym świecie i różnicę w modelach rolnictwa występujących na różnych kontynentach, politykę rolną i rolę agencji rządowych w kreowaniu właściwych postaw beneficjentów środków pomocowych wypłacanych dla rolnictwa.</w:t>
      </w:r>
    </w:p>
    <w:p w14:paraId="0EEA3B4B" w14:textId="791684C9" w:rsidR="008F100F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0F">
        <w:rPr>
          <w:rFonts w:ascii="Times New Roman" w:hAnsi="Times New Roman" w:cs="Times New Roman"/>
          <w:bCs/>
          <w:sz w:val="24"/>
          <w:szCs w:val="24"/>
        </w:rPr>
        <w:t>Badając działalność instytucji państwowych przeanalizowano działania związane z realizacją decyzji politycznych w zakresie polityki rolnej, dotyczących wspierania produkcji rolnej dla potrzeb energetyki. Wskazano przyczynę niepowodzeń wsparcia upraw przeznaczonych na cele energetyczne czy niskiego zainteresowania możliwościami wytwarzania biopaliw na własne potrzeby w gospodarstwach rolnych</w:t>
      </w:r>
      <w:r w:rsidR="00493339">
        <w:rPr>
          <w:rFonts w:ascii="Times New Roman" w:hAnsi="Times New Roman" w:cs="Times New Roman"/>
          <w:bCs/>
          <w:sz w:val="24"/>
          <w:szCs w:val="24"/>
        </w:rPr>
        <w:t xml:space="preserve">, w przeciwieństwie do rozwoju instalacji 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fotowoltaicznych </w:t>
      </w:r>
      <w:r w:rsidR="00493339">
        <w:rPr>
          <w:rFonts w:ascii="Times New Roman" w:hAnsi="Times New Roman" w:cs="Times New Roman"/>
          <w:bCs/>
          <w:sz w:val="24"/>
          <w:szCs w:val="24"/>
        </w:rPr>
        <w:t xml:space="preserve">przeznaczonych 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na potrzeby gospodarstwa rolnego </w:t>
      </w:r>
      <w:r w:rsidR="00493339">
        <w:rPr>
          <w:rFonts w:ascii="Times New Roman" w:hAnsi="Times New Roman" w:cs="Times New Roman"/>
          <w:bCs/>
          <w:sz w:val="24"/>
          <w:szCs w:val="24"/>
        </w:rPr>
        <w:t xml:space="preserve">finansowanych </w:t>
      </w:r>
      <w:r w:rsidRPr="008F100F">
        <w:rPr>
          <w:rFonts w:ascii="Times New Roman" w:hAnsi="Times New Roman" w:cs="Times New Roman"/>
          <w:bCs/>
          <w:sz w:val="24"/>
          <w:szCs w:val="24"/>
        </w:rPr>
        <w:t>jako inwestycji dodatkowej do kupowanego parku maszynowego realizowanego w ramach określonych dotacji.</w:t>
      </w:r>
    </w:p>
    <w:p w14:paraId="2887B2AA" w14:textId="5540DB9D" w:rsidR="008F100F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Jednym z głównych emitentów gazów cieplarnianych jest rolnictwo,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 stąd jego wiodące miejsce w polityce klimatyczno-energetycznej</w:t>
      </w:r>
      <w:r w:rsidR="00226C89">
        <w:rPr>
          <w:rFonts w:ascii="Times New Roman" w:hAnsi="Times New Roman" w:cs="Times New Roman"/>
          <w:bCs/>
          <w:sz w:val="24"/>
          <w:szCs w:val="24"/>
        </w:rPr>
        <w:t>.</w:t>
      </w:r>
      <w:r w:rsidRPr="008F100F">
        <w:rPr>
          <w:rFonts w:ascii="Times New Roman" w:hAnsi="Times New Roman" w:cs="Times New Roman"/>
          <w:bCs/>
          <w:sz w:val="24"/>
          <w:szCs w:val="24"/>
        </w:rPr>
        <w:t xml:space="preserve"> Analizie poddano możliwości zagospodarowania nawozów jako surowców energetycznych oraz źródła refinansowania inwestycji do produkcji biogazu i wskazano bariery w realizacji jak skomplikowane procedury administracyjne i negatywne nastawienie społeczne.</w:t>
      </w:r>
    </w:p>
    <w:p w14:paraId="3F43CA39" w14:textId="44469CFE" w:rsidR="008F42F5" w:rsidRPr="008F100F" w:rsidRDefault="008F100F" w:rsidP="0049333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0F">
        <w:rPr>
          <w:rFonts w:ascii="Times New Roman" w:hAnsi="Times New Roman" w:cs="Times New Roman"/>
          <w:bCs/>
          <w:sz w:val="24"/>
          <w:szCs w:val="24"/>
        </w:rPr>
        <w:lastRenderedPageBreak/>
        <w:t>Narzucone przez politykę klimatyczno-energetyczną wymogi produkcji energii ze źródeł odnawialnych i jednoczesne odejście od biopaliw pierwszej generacji sprawiają, że problemy poruszone w niniejszej pracy są cały czas aktualne i winny być rozwiązywane wspólnie w ramach obu polityk rolnej i energetycznej a jej efekty umożliwią poprawę kondycji zdrowotnej zwierząt hodowlanych, przy jednoczesnym efektywnym wykorzystaniu surowców energetycznych.</w:t>
      </w:r>
    </w:p>
    <w:sectPr w:rsidR="008F42F5" w:rsidRPr="008F100F" w:rsidSect="00226C89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0F"/>
    <w:rsid w:val="00102F64"/>
    <w:rsid w:val="001772AC"/>
    <w:rsid w:val="00226C89"/>
    <w:rsid w:val="003367B7"/>
    <w:rsid w:val="00493339"/>
    <w:rsid w:val="004C434E"/>
    <w:rsid w:val="00617BA1"/>
    <w:rsid w:val="007871CC"/>
    <w:rsid w:val="008F100F"/>
    <w:rsid w:val="008F42F5"/>
    <w:rsid w:val="00910371"/>
    <w:rsid w:val="00A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17C3"/>
  <w15:chartTrackingRefBased/>
  <w15:docId w15:val="{B2198B16-0B74-429F-A540-6E5B73A2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Kozminski Aleksander</dc:creator>
  <cp:keywords/>
  <dc:description/>
  <cp:lastModifiedBy>Hewlett-Packard Company</cp:lastModifiedBy>
  <cp:revision>2</cp:revision>
  <dcterms:created xsi:type="dcterms:W3CDTF">2023-01-12T12:19:00Z</dcterms:created>
  <dcterms:modified xsi:type="dcterms:W3CDTF">2023-01-12T12:19:00Z</dcterms:modified>
</cp:coreProperties>
</file>